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C86C" w14:textId="77777777" w:rsidR="00D956F5" w:rsidRPr="001D68D9" w:rsidRDefault="00D956F5" w:rsidP="00D956F5">
      <w:pPr>
        <w:pStyle w:val="TimesNewRoman"/>
        <w:wordWrap/>
        <w:jc w:val="left"/>
        <w:rPr>
          <w:rFonts w:eastAsia="맑은 고딕"/>
          <w:b/>
          <w:bCs w:val="0"/>
          <w:szCs w:val="22"/>
          <w:lang w:val="en-GB"/>
        </w:rPr>
      </w:pPr>
      <w:r>
        <w:rPr>
          <w:rFonts w:eastAsiaTheme="minorHAnsi"/>
          <w:b/>
          <w:bCs w:val="0"/>
          <w:szCs w:val="22"/>
          <w:lang w:val="en-GB"/>
        </w:rPr>
        <w:t>Supple Data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6. Detailed dataset preparation and evaluation method for the </w:t>
      </w:r>
      <w:proofErr w:type="spellStart"/>
      <w:r w:rsidRPr="001D68D9">
        <w:rPr>
          <w:rFonts w:eastAsiaTheme="minorHAnsi"/>
          <w:b/>
          <w:bCs w:val="0"/>
          <w:i/>
          <w:iCs/>
          <w:szCs w:val="22"/>
          <w:lang w:val="en-GB"/>
        </w:rPr>
        <w:t>Sanghuangporus</w:t>
      </w:r>
      <w:proofErr w:type="spellEnd"/>
      <w:r w:rsidRPr="001D68D9">
        <w:rPr>
          <w:rFonts w:eastAsiaTheme="minorHAnsi"/>
          <w:b/>
          <w:bCs w:val="0"/>
          <w:szCs w:val="22"/>
          <w:lang w:val="en-GB"/>
        </w:rPr>
        <w:t xml:space="preserve"> and </w:t>
      </w:r>
      <w:r w:rsidRPr="001D68D9">
        <w:rPr>
          <w:rFonts w:eastAsiaTheme="minorHAnsi"/>
          <w:b/>
          <w:bCs w:val="0"/>
          <w:i/>
          <w:iCs/>
          <w:szCs w:val="22"/>
          <w:lang w:val="en-GB"/>
        </w:rPr>
        <w:t>Aspergillus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section </w:t>
      </w:r>
      <w:proofErr w:type="spellStart"/>
      <w:r w:rsidRPr="001D68D9">
        <w:rPr>
          <w:rFonts w:eastAsiaTheme="minorHAnsi"/>
          <w:b/>
          <w:bCs w:val="0"/>
          <w:i/>
          <w:iCs/>
          <w:szCs w:val="22"/>
          <w:lang w:val="en-GB"/>
        </w:rPr>
        <w:t>Terrei</w:t>
      </w:r>
      <w:proofErr w:type="spellEnd"/>
      <w:r w:rsidRPr="001D68D9">
        <w:rPr>
          <w:rFonts w:eastAsiaTheme="minorHAnsi"/>
          <w:b/>
          <w:bCs w:val="0"/>
          <w:i/>
          <w:iCs/>
          <w:szCs w:val="22"/>
          <w:lang w:val="en-GB"/>
        </w:rPr>
        <w:t xml:space="preserve"> </w:t>
      </w:r>
      <w:r w:rsidRPr="001D68D9">
        <w:rPr>
          <w:rFonts w:eastAsiaTheme="minorHAnsi"/>
          <w:b/>
          <w:bCs w:val="0"/>
          <w:szCs w:val="22"/>
          <w:lang w:val="en-GB"/>
        </w:rPr>
        <w:t>dataset</w:t>
      </w:r>
      <w:r w:rsidRPr="001D68D9">
        <w:rPr>
          <w:rFonts w:eastAsia="맑은 고딕"/>
          <w:b/>
          <w:bCs w:val="0"/>
          <w:szCs w:val="22"/>
          <w:lang w:val="en-GB"/>
        </w:rPr>
        <w:t>s.</w:t>
      </w:r>
    </w:p>
    <w:p w14:paraId="7DBDBCAF" w14:textId="77777777" w:rsidR="00D956F5" w:rsidRPr="001D68D9" w:rsidRDefault="00D956F5" w:rsidP="00D956F5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6.1. </w:t>
      </w:r>
      <w:proofErr w:type="spellStart"/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Sanghuangporus</w:t>
      </w:r>
      <w:proofErr w:type="spellEnd"/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dataset collection and curation</w:t>
      </w:r>
    </w:p>
    <w:p w14:paraId="72FC8387" w14:textId="77777777" w:rsidR="00D956F5" w:rsidRPr="001D68D9" w:rsidRDefault="00D956F5" w:rsidP="00D956F5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lang w:eastAsia="ko-KR"/>
        </w:rPr>
      </w:pPr>
      <w:r w:rsidRPr="001D68D9">
        <w:rPr>
          <w:rFonts w:ascii="Times New Roman" w:eastAsiaTheme="minorHAnsi" w:hAnsi="Times New Roman" w:cs="Times New Roman"/>
          <w:sz w:val="22"/>
          <w:szCs w:val="22"/>
        </w:rPr>
        <w:t>The Table 1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of the reference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research article by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Shen et al. 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(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2021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was downloaded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Camelot PDF table extractor (</w:t>
      </w:r>
      <w:r w:rsidRPr="00B25755">
        <w:rPr>
          <w:rFonts w:ascii="Times New Roman" w:hAnsi="Times New Roman" w:cs="Times New Roman"/>
          <w:sz w:val="22"/>
          <w:szCs w:val="22"/>
        </w:rPr>
        <w:t>https://github.com/camelot-dev/camelot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) and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verified to ensure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parsed table and original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PDF file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indicate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same data. For the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FunVIP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database, ITS sequences indicated with term “Type” or “Reliable” from the “TAXONOMY” section were selected (n=15), and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remaining samples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 the table were used as quer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ies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(n=256). We included additional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sequences (n=2,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angustisculcantus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BJFC 024943 and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excentrodendri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Yuan 6227) from order level study (Wu et al. 2022) for outgroup sequences to fulfill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outgroup sequence requirement of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FunVIP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>. ITS sequences, MT343579 of Dai 13360 (BJFC) and MT343580 of Yuan 6438 (IFP) were misspelling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of MT348579 and MT348580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respectively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 and were detected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during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pre-analysis of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data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(See 900_evidence_for_editing/</w:t>
      </w:r>
      <w:proofErr w:type="spellStart"/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Sanghuangporus_pre</w:t>
      </w:r>
      <w:proofErr w:type="spellEnd"/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/)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. Two non-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Sanghuangporus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samples (WN-3, DL 101) were removed because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corresponding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database sequences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for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those samples did not exist in the database. We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incorporated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these changes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to analysis. The column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“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Species name accepted here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”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table is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regarded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as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ground truth identification.</w:t>
      </w:r>
    </w:p>
    <w:p w14:paraId="5C4EB8EB" w14:textId="77777777" w:rsidR="00D956F5" w:rsidRPr="001D68D9" w:rsidRDefault="00D956F5" w:rsidP="00D956F5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lang w:eastAsia="ko-KR"/>
        </w:rPr>
      </w:pPr>
    </w:p>
    <w:p w14:paraId="5318F858" w14:textId="77777777" w:rsidR="00D956F5" w:rsidRPr="001D68D9" w:rsidRDefault="00D956F5" w:rsidP="00D956F5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6.2. </w:t>
      </w:r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Aspergillus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section </w:t>
      </w:r>
      <w:proofErr w:type="spellStart"/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Terrei</w:t>
      </w:r>
      <w:proofErr w:type="spellEnd"/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dataset collection and curation</w:t>
      </w:r>
    </w:p>
    <w:p w14:paraId="7FFC3429" w14:textId="77777777" w:rsidR="00D956F5" w:rsidRPr="001D68D9" w:rsidRDefault="00D956F5" w:rsidP="00D956F5">
      <w:pPr>
        <w:spacing w:line="48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The query URM strains included in “Table 1” of the original research were initially parsed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CSV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format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Camelot and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verified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en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sure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that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the parsed table and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original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PDF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indicate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same data (Barros et al. 2020). The column “Current name”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was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regarded as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ground truth identification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The database strains were parsed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same method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original research by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locating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GenBank accession numbers corresponding to strain numbers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in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“Figure 1” from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reference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research (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Arzanlou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2016;</w:t>
      </w:r>
      <w:r w:rsidRPr="0043065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Guinea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2015; Huang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;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Hubka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2015; Samson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2011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, 2014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; Visagie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&amp;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Houbraken</w:t>
      </w:r>
      <w:proofErr w:type="spellEnd"/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2020).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Four of these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were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orthgraphic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variants,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with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author ha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misspelled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hortai</w:t>
      </w:r>
      <w:proofErr w:type="spellEnd"/>
      <w:r w:rsidRPr="001D68D9">
        <w:rPr>
          <w:rFonts w:ascii="Times New Roman" w:eastAsia="맑은 고딕" w:hAnsi="Times New Roman" w:cs="Times New Roman"/>
          <w:i/>
          <w:iCs/>
          <w:sz w:val="22"/>
          <w:szCs w:val="22"/>
          <w:lang w:eastAsia="ko-KR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hortae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.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ingle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sample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(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CMV0047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was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lastRenderedPageBreak/>
        <w:t xml:space="preserve">annotated as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A.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cf.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alabamensis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in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table but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annotated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alabamensis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 phylogenetic tree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.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We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followed the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annotation provided in the phylogenetic tree for this sample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The authors also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noted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that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aureoterreus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CBS 503.65 w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reidentified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recifensis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in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their paper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(Barros et al.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2020), we also applied th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is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adjustment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database.</w:t>
      </w:r>
    </w:p>
    <w:p w14:paraId="096A1431" w14:textId="77777777" w:rsidR="00D956F5" w:rsidRPr="001D68D9" w:rsidRDefault="00D956F5" w:rsidP="00D956F5">
      <w:pPr>
        <w:pStyle w:val="TimesNewRoman"/>
        <w:wordWrap/>
        <w:jc w:val="left"/>
        <w:rPr>
          <w:rFonts w:eastAsiaTheme="minorHAnsi"/>
          <w:szCs w:val="22"/>
        </w:rPr>
      </w:pPr>
    </w:p>
    <w:p w14:paraId="459542B0" w14:textId="77777777" w:rsidR="00D956F5" w:rsidRPr="001D68D9" w:rsidRDefault="00D956F5" w:rsidP="00D956F5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  <w:lang w:eastAsia="ko-KR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6.3. Evaluation of accuracy between </w:t>
      </w:r>
      <w:proofErr w:type="spellStart"/>
      <w:r w:rsidRPr="001D68D9">
        <w:rPr>
          <w:rFonts w:ascii="Times New Roman" w:hAnsi="Times New Roman" w:cs="Times New Roman"/>
          <w:b/>
          <w:bCs/>
          <w:sz w:val="22"/>
          <w:szCs w:val="22"/>
        </w:rPr>
        <w:t>FunVIP</w:t>
      </w:r>
      <w:proofErr w:type="spellEnd"/>
      <w:r>
        <w:rPr>
          <w:rFonts w:ascii="Times New Roman" w:hAnsi="Times New Roman" w:cs="Times New Roman" w:hint="eastAsia"/>
          <w:b/>
          <w:bCs/>
          <w:sz w:val="22"/>
          <w:szCs w:val="22"/>
          <w:lang w:eastAsia="ko-KR"/>
        </w:rPr>
        <w:t>,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BLAST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ko-KR"/>
        </w:rPr>
        <w:t xml:space="preserve"> and q2-feature-classifier</w:t>
      </w:r>
    </w:p>
    <w:p w14:paraId="0A2C3E32" w14:textId="77777777" w:rsidR="00D956F5" w:rsidRPr="001D68D9" w:rsidRDefault="00D956F5" w:rsidP="00D956F5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rFonts w:eastAsiaTheme="minorHAnsi"/>
          <w:szCs w:val="22"/>
        </w:rPr>
        <w:t xml:space="preserve">For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>, combination</w:t>
      </w:r>
      <w:r w:rsidRPr="001D68D9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of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--preset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(fast, accurate)</w:t>
      </w:r>
      <w:r w:rsidRPr="001D68D9">
        <w:rPr>
          <w:rFonts w:eastAsia="맑은 고딕"/>
          <w:szCs w:val="22"/>
        </w:rPr>
        <w:t xml:space="preserve"> and the</w:t>
      </w:r>
      <w:r w:rsidRPr="001D68D9">
        <w:rPr>
          <w:rFonts w:eastAsiaTheme="minorHAnsi"/>
          <w:szCs w:val="22"/>
        </w:rPr>
        <w:t xml:space="preserve"> --</w:t>
      </w:r>
      <w:proofErr w:type="spellStart"/>
      <w:r w:rsidRPr="001D68D9">
        <w:rPr>
          <w:rFonts w:eastAsiaTheme="minorHAnsi"/>
          <w:szCs w:val="22"/>
        </w:rPr>
        <w:t>collapsedistcutoff</w:t>
      </w:r>
      <w:proofErr w:type="spellEnd"/>
      <w:r w:rsidRPr="001D68D9">
        <w:rPr>
          <w:rFonts w:eastAsiaTheme="minorHAnsi"/>
          <w:szCs w:val="22"/>
        </w:rPr>
        <w:t xml:space="preserve"> (0.005, 0.01, 0.02, 0.03, 0.05, 0.1, 0.25, and 0.5) options were used to evaluate metrics. BLAST does not provide identification criteria, we used cutoff</w:t>
      </w:r>
      <w:r w:rsidRPr="001D68D9">
        <w:rPr>
          <w:rFonts w:eastAsia="맑은 고딕"/>
          <w:szCs w:val="22"/>
        </w:rPr>
        <w:t>s of</w:t>
      </w:r>
      <w:r w:rsidRPr="001D68D9">
        <w:rPr>
          <w:rFonts w:eastAsiaTheme="minorHAnsi"/>
          <w:szCs w:val="22"/>
        </w:rPr>
        <w:t xml:space="preserve"> 99.5, 99, 98, 97, 95, 75 and 50 for percent identity to calculate whether to assign species of the query to matched database species. Macro</w:t>
      </w:r>
      <w:r>
        <w:rPr>
          <w:rFonts w:eastAsia="맑은 고딕" w:hint="eastAsia"/>
          <w:szCs w:val="22"/>
        </w:rPr>
        <w:t>-</w:t>
      </w:r>
      <w:r w:rsidRPr="001D68D9">
        <w:rPr>
          <w:rFonts w:eastAsiaTheme="minorHAnsi"/>
          <w:szCs w:val="22"/>
        </w:rPr>
        <w:t xml:space="preserve">averaged accuracy (https://scikit-learn.org/stable/modules/generated/sklearn.metrics.average_precision_score.html), precision, recall (https://scikit-learn.org/stable/modules/generated/sklearn.metrics.precision_recall_fscore_support.html), and F1 scores (https://scikit-learn.org/stable/modules/generated/sklearn.metrics.f1_score.html) were calculated as metrics </w:t>
      </w:r>
      <w:r w:rsidRPr="001D68D9">
        <w:rPr>
          <w:rFonts w:eastAsia="맑은 고딕"/>
          <w:szCs w:val="22"/>
        </w:rPr>
        <w:t>for the</w:t>
      </w:r>
      <w:r w:rsidRPr="001D68D9">
        <w:rPr>
          <w:rFonts w:eastAsiaTheme="minorHAnsi"/>
          <w:szCs w:val="22"/>
        </w:rPr>
        <w:t xml:space="preserve"> multi-class classifier. Positives were </w:t>
      </w:r>
      <w:r w:rsidRPr="001D68D9">
        <w:rPr>
          <w:rFonts w:eastAsia="맑은 고딕"/>
          <w:szCs w:val="22"/>
        </w:rPr>
        <w:t>counted</w:t>
      </w:r>
      <w:r w:rsidRPr="001D68D9">
        <w:rPr>
          <w:rFonts w:eastAsiaTheme="minorHAnsi"/>
          <w:szCs w:val="22"/>
        </w:rPr>
        <w:t xml:space="preserve"> if the species were well assigned to given database species or as a new species. </w:t>
      </w:r>
      <w:r w:rsidRPr="00B25755">
        <w:rPr>
          <w:rFonts w:eastAsia="맑은 고딕"/>
          <w:bCs w:val="0"/>
          <w:szCs w:val="22"/>
          <w:lang w:val="en-GB"/>
        </w:rPr>
        <w:t>Owing</w:t>
      </w:r>
      <w:r w:rsidRPr="001D68D9">
        <w:rPr>
          <w:rFonts w:eastAsia="맑은 고딕"/>
          <w:bCs w:val="0"/>
          <w:szCs w:val="22"/>
          <w:lang w:val="en-GB"/>
        </w:rPr>
        <w:t xml:space="preserve"> to the limitations of BLAST</w:t>
      </w:r>
      <w:r>
        <w:rPr>
          <w:rFonts w:eastAsia="맑은 고딕" w:hint="eastAsia"/>
          <w:bCs w:val="0"/>
          <w:szCs w:val="22"/>
          <w:lang w:val="en-GB"/>
        </w:rPr>
        <w:t xml:space="preserve"> and q2-feature-classifier</w:t>
      </w:r>
      <w:r w:rsidRPr="001D68D9">
        <w:rPr>
          <w:rFonts w:eastAsia="맑은 고딕"/>
          <w:bCs w:val="0"/>
          <w:szCs w:val="22"/>
          <w:lang w:val="en-GB"/>
        </w:rPr>
        <w:t xml:space="preserve">, delimitation of individual new species </w:t>
      </w:r>
      <w:r w:rsidRPr="001D68D9">
        <w:rPr>
          <w:rFonts w:eastAsia="맑은 고딕"/>
          <w:bCs w:val="0"/>
          <w:szCs w:val="22"/>
          <w:lang w:val="en-GB" w:eastAsia="en-GB"/>
        </w:rPr>
        <w:t>(e.g., sp. 1 and sp. 2)</w:t>
      </w:r>
      <w:r w:rsidRPr="001D68D9">
        <w:rPr>
          <w:rFonts w:eastAsia="맑은 고딕"/>
          <w:bCs w:val="0"/>
          <w:szCs w:val="22"/>
          <w:lang w:val="en-GB"/>
        </w:rPr>
        <w:t xml:space="preserve"> </w:t>
      </w:r>
      <w:r w:rsidRPr="00B25755">
        <w:rPr>
          <w:rFonts w:eastAsia="맑은 고딕"/>
          <w:bCs w:val="0"/>
          <w:szCs w:val="22"/>
          <w:lang w:val="en-GB"/>
        </w:rPr>
        <w:t>w</w:t>
      </w:r>
      <w:r>
        <w:rPr>
          <w:rFonts w:eastAsia="맑은 고딕" w:hint="eastAsia"/>
          <w:bCs w:val="0"/>
          <w:szCs w:val="22"/>
          <w:lang w:val="en-GB"/>
        </w:rPr>
        <w:t>as</w:t>
      </w:r>
      <w:r w:rsidRPr="001D68D9">
        <w:rPr>
          <w:rFonts w:eastAsia="맑은 고딕"/>
          <w:bCs w:val="0"/>
          <w:szCs w:val="22"/>
          <w:lang w:val="en-GB"/>
        </w:rPr>
        <w:t xml:space="preserve"> not accounted for</w:t>
      </w:r>
      <w:r w:rsidRPr="00B25755">
        <w:rPr>
          <w:rFonts w:eastAsia="맑은 고딕"/>
          <w:bCs w:val="0"/>
          <w:szCs w:val="22"/>
          <w:lang w:val="en-GB"/>
        </w:rPr>
        <w:t xml:space="preserve"> in</w:t>
      </w:r>
      <w:r w:rsidRPr="001D68D9">
        <w:rPr>
          <w:rFonts w:eastAsia="맑은 고딕"/>
          <w:bCs w:val="0"/>
          <w:szCs w:val="22"/>
          <w:lang w:val="en-GB"/>
        </w:rPr>
        <w:t xml:space="preserve"> the statistics (all regarded as “sp.”). </w:t>
      </w:r>
      <w:r w:rsidRPr="001D68D9">
        <w:rPr>
          <w:rFonts w:eastAsiaTheme="minorHAnsi"/>
          <w:szCs w:val="22"/>
        </w:rPr>
        <w:t xml:space="preserve">Additionally,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accurate mode consumes a lot of time during phylogenetic tree construction due to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high computation</w:t>
      </w:r>
      <w:r>
        <w:rPr>
          <w:rFonts w:eastAsia="맑은 고딕" w:hint="eastAsia"/>
          <w:szCs w:val="22"/>
        </w:rPr>
        <w:t>al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demand </w:t>
      </w:r>
      <w:r w:rsidRPr="001D68D9">
        <w:rPr>
          <w:rFonts w:eastAsiaTheme="minorHAnsi"/>
          <w:szCs w:val="22"/>
        </w:rPr>
        <w:t xml:space="preserve">of </w:t>
      </w:r>
      <w:proofErr w:type="spellStart"/>
      <w:r w:rsidRPr="001D68D9">
        <w:rPr>
          <w:rFonts w:eastAsiaTheme="minorHAnsi"/>
          <w:szCs w:val="22"/>
        </w:rPr>
        <w:t>RAxML</w:t>
      </w:r>
      <w:proofErr w:type="spellEnd"/>
      <w:r>
        <w:rPr>
          <w:rFonts w:eastAsia="맑은 고딕" w:hint="eastAsia"/>
          <w:szCs w:val="22"/>
        </w:rPr>
        <w:t>.</w:t>
      </w:r>
      <w:r w:rsidRPr="001D68D9">
        <w:rPr>
          <w:rFonts w:eastAsiaTheme="minorHAnsi"/>
          <w:szCs w:val="22"/>
        </w:rPr>
        <w:t xml:space="preserve"> </w:t>
      </w:r>
      <w:r>
        <w:rPr>
          <w:rFonts w:eastAsia="맑은 고딕" w:hint="eastAsia"/>
          <w:szCs w:val="22"/>
        </w:rPr>
        <w:t>Therefore, i</w:t>
      </w:r>
      <w:r w:rsidRPr="001D68D9">
        <w:rPr>
          <w:rFonts w:eastAsiaTheme="minorHAnsi"/>
          <w:szCs w:val="22"/>
        </w:rPr>
        <w:t xml:space="preserve">terative analysis for statistics with varied parameters were performed </w:t>
      </w:r>
      <w:r w:rsidRPr="001D68D9">
        <w:rPr>
          <w:rFonts w:eastAsia="맑은 고딕"/>
          <w:szCs w:val="22"/>
        </w:rPr>
        <w:t>using the</w:t>
      </w:r>
      <w:r w:rsidRPr="001D68D9">
        <w:rPr>
          <w:rFonts w:eastAsiaTheme="minorHAnsi"/>
          <w:szCs w:val="22"/>
        </w:rPr>
        <w:t xml:space="preserve"> --continue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and --step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visualization flags.</w:t>
      </w:r>
    </w:p>
    <w:p w14:paraId="5E5AB8FD" w14:textId="77777777" w:rsidR="00D956F5" w:rsidRPr="001D68D9" w:rsidRDefault="00D956F5" w:rsidP="00D956F5">
      <w:pPr>
        <w:pStyle w:val="TimesNewRoman"/>
        <w:wordWrap/>
        <w:jc w:val="left"/>
        <w:rPr>
          <w:rFonts w:eastAsiaTheme="minorHAnsi"/>
          <w:szCs w:val="22"/>
        </w:rPr>
      </w:pPr>
    </w:p>
    <w:p w14:paraId="59779DEC" w14:textId="77777777" w:rsidR="00D956F5" w:rsidRDefault="00D956F5" w:rsidP="00D956F5">
      <w:pPr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eastAsiaTheme="minorHAnsi"/>
          <w:b/>
          <w:bCs/>
          <w:szCs w:val="22"/>
        </w:rPr>
        <w:br w:type="page"/>
      </w:r>
    </w:p>
    <w:p w14:paraId="5CF242AC" w14:textId="77777777" w:rsidR="00D956F5" w:rsidRPr="001D68D9" w:rsidRDefault="00D956F5" w:rsidP="00D956F5">
      <w:pPr>
        <w:pStyle w:val="TimesNewRoman"/>
        <w:wordWrap/>
        <w:jc w:val="left"/>
        <w:rPr>
          <w:rFonts w:eastAsiaTheme="minorHAnsi"/>
          <w:b/>
          <w:bCs w:val="0"/>
          <w:szCs w:val="22"/>
        </w:rPr>
      </w:pPr>
      <w:r w:rsidRPr="001D68D9">
        <w:rPr>
          <w:rFonts w:eastAsiaTheme="minorHAnsi"/>
          <w:b/>
          <w:bCs w:val="0"/>
          <w:szCs w:val="22"/>
        </w:rPr>
        <w:lastRenderedPageBreak/>
        <w:t>References</w:t>
      </w:r>
    </w:p>
    <w:p w14:paraId="54F49574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Arzanlou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M, Samadi R, Frisvad JC,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Ghosta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Y. 2016. Two novel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species from hypersaline soils of the national park of Lake Urmia, Iran.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 Prog.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15(10): 1081–1092.</w:t>
      </w:r>
    </w:p>
    <w:p w14:paraId="46165C3B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Barros Correia AC, Barbosa RN, Frisvad JC,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Souza-Motta CM. 2020. The polyphasic re-identification of a Brazilian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collection led to the discovery of two new species.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 Prog.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19: 885–903.</w:t>
      </w:r>
    </w:p>
    <w:p w14:paraId="62DD1C26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Guinea J, Sandoval-Denis M, Escribano P, Peláez T,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Guarro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et al. 2015.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Aspergillus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citrinoterreus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, a new species of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isolated from samples of patients with nonhematological predisposing conditions.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J Clin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Microbiol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53(2): 611–617.</w:t>
      </w:r>
    </w:p>
    <w:p w14:paraId="578DBA0A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Huang P, Jiang X, Wu B, Sun J. 2020.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Aspergillus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jilinensis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and its thermostable alkaline enzymes evaluation.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Mycoscience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61(5): 205–211.</w:t>
      </w:r>
    </w:p>
    <w:p w14:paraId="73270279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Hubka V, Nováková A, Kolařík M, Jurjević Ž, Peterson SW. 2015. Revision of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Flavipedes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: Seven new species and proposal of section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Jani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sect.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107(1): 169–208.</w:t>
      </w:r>
    </w:p>
    <w:p w14:paraId="3A96CAED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Samson RA, Peterson SW, Frisvad JC, Varga J. 2011. New species in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69(1): 39–55.</w:t>
      </w:r>
    </w:p>
    <w:p w14:paraId="45F3C063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Samson RA, Visagie CM,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Hong SB, Hubka V, et al. 2014. Phylogeny, identification and nomenclature of the genus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78(1): 141–173.</w:t>
      </w:r>
    </w:p>
    <w:p w14:paraId="33286B16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Shen S, Liu SL, Jiang JH, Zhou LW. 2021. Addressing widespread misidentifications of traditional medicinal mushrooms in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Sanghuangporus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(Basidiomycota) through ITS barcoding and designation of reference sequences.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IMA Fungus.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12(1).</w:t>
      </w:r>
    </w:p>
    <w:p w14:paraId="30A0EBA8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Visagie CM,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J. 2020. Updating the taxonomy of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in South Africa.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95(1): 253–292.</w:t>
      </w:r>
    </w:p>
    <w:p w14:paraId="287D5C82" w14:textId="77777777" w:rsidR="00D956F5" w:rsidRPr="00430655" w:rsidRDefault="00D956F5" w:rsidP="00D956F5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Wu F, Zhou LW, Vlasák J, Dai YC. 2022. Global diversity and systematics of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with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poroid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hymenophore.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Fungal Divers.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113(1): 1–192.</w:t>
      </w:r>
    </w:p>
    <w:p w14:paraId="58E44BFA" w14:textId="77777777" w:rsidR="00D956F5" w:rsidRDefault="00D956F5"/>
    <w:sectPr w:rsidR="00D95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F5"/>
    <w:rsid w:val="00797A91"/>
    <w:rsid w:val="00D9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3C513"/>
  <w15:chartTrackingRefBased/>
  <w15:docId w15:val="{02C01E47-92C0-4A9B-A2D7-C1D1091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6F5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956F5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56F5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956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956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956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956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956F5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D9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56F5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D9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56F5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D956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56F5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D956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56F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D956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56F5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D956F5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D956F5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customStyle="1" w:styleId="References">
    <w:name w:val="References"/>
    <w:basedOn w:val="a"/>
    <w:qFormat/>
    <w:rsid w:val="00D956F5"/>
    <w:pPr>
      <w:spacing w:before="120" w:line="360" w:lineRule="auto"/>
      <w:ind w:left="720" w:hanging="720"/>
      <w:contextualSpacing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5040</Characters>
  <Application>Microsoft Office Word</Application>
  <DocSecurity>0</DocSecurity>
  <Lines>77</Lines>
  <Paragraphs>25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2025-03-28T00:17:00Z</dcterms:created>
  <dcterms:modified xsi:type="dcterms:W3CDTF">2025-03-28T00:17:00Z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2c330f18-78d0-4330-924a-b89f47c3fb4d</vt:lpwstr>
  </property>
</Properties>
</file>